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84" w:rsidRPr="006360EA" w:rsidRDefault="00A114BE" w:rsidP="00EA06CF">
      <w:pPr>
        <w:pStyle w:val="a4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ПРИМЕНЕНИЕ ИНТЕРАКТИВНЫХ ТЕХНОЛОГИЙ</w:t>
      </w:r>
      <w:r w:rsidRPr="006360E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УЧЕБНО-ВОСПИТАТЕЛЬНОМ ПРОЦЕССЕ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ПРИ ПРОВЕДЕНИИ ЗАНЯТИЙ ПО ДИСЦИПЛИНАМ «ХИМИЯ» И «ЕСТЕСТВОЗНАНИЕ»</w:t>
      </w:r>
    </w:p>
    <w:p w:rsidR="00EA06CF" w:rsidRDefault="00EA06CF" w:rsidP="00EA06CF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Черникова Т.А.</w:t>
      </w:r>
      <w:bookmarkStart w:id="0" w:name="_GoBack"/>
      <w:bookmarkEnd w:id="0"/>
    </w:p>
    <w:p w:rsidR="00EA06CF" w:rsidRDefault="00EA06CF" w:rsidP="00EA06CF">
      <w:pPr>
        <w:pStyle w:val="a4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ГБПОУ ВО «Павловский техникум»</w:t>
      </w:r>
    </w:p>
    <w:p w:rsidR="00E52101" w:rsidRPr="00BC12D4" w:rsidRDefault="00E52101" w:rsidP="00AA6AAC">
      <w:pPr>
        <w:pStyle w:val="a4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</w:pPr>
      <w:r w:rsidRPr="00BC12D4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tan4oz@mail.ru</w:t>
      </w:r>
    </w:p>
    <w:p w:rsidR="006A243F" w:rsidRPr="006360EA" w:rsidRDefault="006A243F" w:rsidP="006360EA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В настоящее время наибольшей популярностью пользуются те технологии, которые позволяют педагогу создавать наиболее комфортные условия для обучения, взаимодействия между участниками учебного процесса и саморазвития учащихся. Одними из таких технологий являются интерактивные. Интерактивные технологии – это ряд педагогических методик, обеспечивающих необходимый образовательный эффект, посредством включения учащихся в совместную с педагогом деятельность, по заданным правилам и условиям. </w:t>
      </w:r>
      <w:r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Они</w:t>
      </w:r>
      <w:r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предусматривают обязательное взаимодействие педагога с учащимися, а также учащихся между собой. </w:t>
      </w:r>
      <w:r w:rsidR="006360EA" w:rsidRPr="006360EA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[1]</w:t>
      </w:r>
    </w:p>
    <w:p w:rsidR="004C2D6E" w:rsidRPr="00AA6AAC" w:rsidRDefault="004C2D6E" w:rsidP="006360EA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В своей работе я использую следующие виды интерактивных технологий: работа в парах, работа в малых группах, мозговой штурм, ролевые игры, броуновское движение, </w:t>
      </w:r>
      <w:r w:rsidR="00582812"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«микрофон», тренинг</w:t>
      </w:r>
      <w:r w:rsidR="00E40CD2"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, проекты. Далее остановлюсь подробнее на особенностях применения каждого метода.</w:t>
      </w:r>
    </w:p>
    <w:p w:rsidR="00E40CD2" w:rsidRPr="00AA6AAC" w:rsidRDefault="00F03642" w:rsidP="006360EA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1. </w:t>
      </w:r>
      <w:r w:rsidR="00E40CD2"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Работа в парах – организуется работа с учебником. Каждая пара создает по тексту учебника «банк вопросов» с заданными параметрами, например, по два вопроса «Что…?», «Как…?», «Зачем…?». Затем озвучивают их задавая другой паре на выбор.</w:t>
      </w:r>
      <w:r w:rsidR="00B20E81"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79079E" w:rsidRDefault="00F03642" w:rsidP="006360EA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2. </w:t>
      </w:r>
      <w:r w:rsidR="003F4F3E"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Работа в малых группах</w:t>
      </w:r>
      <w:r w:rsidR="004F049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 М</w:t>
      </w:r>
      <w:r w:rsidR="003F4F3E"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етод применим при проведении практических занятий</w:t>
      </w:r>
      <w:r w:rsidR="0079079E"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 Например, тема «Изучение этапов развития жизни на Земле» (</w:t>
      </w:r>
      <w:r w:rsidR="008B45BD"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естествознание</w:t>
      </w:r>
      <w:r w:rsidR="0079079E"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): каждая группа получает план характеристики определенной эры (Архейская, Протерозойская, Палеозойская, Мезозойская, Кайнозойская) или конкретного периода</w:t>
      </w:r>
      <w:r w:rsidR="004F049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F03642" w:rsidRPr="00F03642" w:rsidRDefault="00F03642" w:rsidP="006360EA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Образец задания:</w:t>
      </w:r>
    </w:p>
    <w:p w:rsidR="0079079E" w:rsidRPr="00AA6AAC" w:rsidRDefault="0079079E" w:rsidP="00F0364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A6AAC">
        <w:rPr>
          <w:rFonts w:ascii="Times New Roman" w:hAnsi="Times New Roman" w:cs="Times New Roman"/>
          <w:color w:val="000000" w:themeColor="text1"/>
          <w:sz w:val="20"/>
          <w:szCs w:val="20"/>
        </w:rPr>
        <w:t>Название эры</w:t>
      </w:r>
    </w:p>
    <w:p w:rsidR="0079079E" w:rsidRPr="00AA6AAC" w:rsidRDefault="0079079E" w:rsidP="00F0364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A6AAC">
        <w:rPr>
          <w:rFonts w:ascii="Times New Roman" w:hAnsi="Times New Roman" w:cs="Times New Roman"/>
          <w:color w:val="000000" w:themeColor="text1"/>
          <w:sz w:val="20"/>
          <w:szCs w:val="20"/>
        </w:rPr>
        <w:t>Возраст эры (в млн лет)</w:t>
      </w:r>
    </w:p>
    <w:p w:rsidR="0079079E" w:rsidRPr="00AA6AAC" w:rsidRDefault="0079079E" w:rsidP="00F0364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A6AAC">
        <w:rPr>
          <w:rFonts w:ascii="Times New Roman" w:hAnsi="Times New Roman" w:cs="Times New Roman"/>
          <w:color w:val="000000" w:themeColor="text1"/>
          <w:sz w:val="20"/>
          <w:szCs w:val="20"/>
        </w:rPr>
        <w:t>Длительность эры (в млн лет)</w:t>
      </w:r>
    </w:p>
    <w:p w:rsidR="0079079E" w:rsidRPr="00AA6AAC" w:rsidRDefault="0079079E" w:rsidP="00F0364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A6AAC">
        <w:rPr>
          <w:rFonts w:ascii="Times New Roman" w:hAnsi="Times New Roman" w:cs="Times New Roman"/>
          <w:color w:val="000000" w:themeColor="text1"/>
          <w:sz w:val="20"/>
          <w:szCs w:val="20"/>
        </w:rPr>
        <w:t>Характеристика</w:t>
      </w:r>
    </w:p>
    <w:p w:rsidR="0079079E" w:rsidRPr="00AA6AAC" w:rsidRDefault="0079079E" w:rsidP="00F03642">
      <w:pPr>
        <w:pStyle w:val="a4"/>
        <w:ind w:left="128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A6AAC">
        <w:rPr>
          <w:rFonts w:ascii="Times New Roman" w:hAnsi="Times New Roman" w:cs="Times New Roman"/>
          <w:color w:val="000000" w:themeColor="text1"/>
          <w:sz w:val="20"/>
          <w:szCs w:val="20"/>
        </w:rPr>
        <w:t>а) название периода</w:t>
      </w:r>
    </w:p>
    <w:p w:rsidR="0079079E" w:rsidRPr="00AA6AAC" w:rsidRDefault="0079079E" w:rsidP="00F03642">
      <w:pPr>
        <w:pStyle w:val="a4"/>
        <w:ind w:left="128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A6AAC">
        <w:rPr>
          <w:rFonts w:ascii="Times New Roman" w:hAnsi="Times New Roman" w:cs="Times New Roman"/>
          <w:color w:val="000000" w:themeColor="text1"/>
          <w:sz w:val="20"/>
          <w:szCs w:val="20"/>
        </w:rPr>
        <w:t>б) главные события периода</w:t>
      </w:r>
    </w:p>
    <w:p w:rsidR="0079079E" w:rsidRPr="00AA6AAC" w:rsidRDefault="0079079E" w:rsidP="00F03642">
      <w:pPr>
        <w:pStyle w:val="a4"/>
        <w:ind w:left="128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A6AAC">
        <w:rPr>
          <w:rFonts w:ascii="Times New Roman" w:hAnsi="Times New Roman" w:cs="Times New Roman"/>
          <w:color w:val="000000" w:themeColor="text1"/>
          <w:sz w:val="20"/>
          <w:szCs w:val="20"/>
        </w:rPr>
        <w:t>в) растительный мир периода</w:t>
      </w:r>
    </w:p>
    <w:p w:rsidR="0079079E" w:rsidRPr="00AA6AAC" w:rsidRDefault="0079079E" w:rsidP="00F03642">
      <w:pPr>
        <w:pStyle w:val="a4"/>
        <w:ind w:left="128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A6AAC">
        <w:rPr>
          <w:rFonts w:ascii="Times New Roman" w:hAnsi="Times New Roman" w:cs="Times New Roman"/>
          <w:color w:val="000000" w:themeColor="text1"/>
          <w:sz w:val="20"/>
          <w:szCs w:val="20"/>
        </w:rPr>
        <w:t>г) животный мир периода</w:t>
      </w:r>
    </w:p>
    <w:p w:rsidR="0079079E" w:rsidRPr="00AA6AAC" w:rsidRDefault="0079079E" w:rsidP="006360EA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После того как характеристика завершена, каждая группа озвучивает свои результаты поиска информации другим группам с внесением соответствующих записей в тетради. Также каждая группа составляет </w:t>
      </w:r>
      <w:proofErr w:type="spellStart"/>
      <w:r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синквейн</w:t>
      </w:r>
      <w:proofErr w:type="spellEnd"/>
      <w:r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про </w:t>
      </w:r>
      <w:r w:rsidR="00CE0A10"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любые</w:t>
      </w:r>
      <w:r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эру или период</w:t>
      </w:r>
      <w:r w:rsidR="00CE0A10"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(не называя их) и в конце занятия зачитывает, а остальные </w:t>
      </w:r>
      <w:r w:rsidR="004F049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учащиеся </w:t>
      </w:r>
      <w:r w:rsidR="00CE0A10"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отгадывают название.</w:t>
      </w:r>
    </w:p>
    <w:p w:rsidR="0079079E" w:rsidRPr="00AA6AAC" w:rsidRDefault="004F049C" w:rsidP="006360EA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3. </w:t>
      </w:r>
      <w:r w:rsidR="00C06AA9"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Мозговой штурм используется на любом уроке, который </w:t>
      </w:r>
      <w:r w:rsidR="00D137BC"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предполагает изучение новой терминологии. Предлагается высказать свои мнения о значении нового термина</w:t>
      </w:r>
      <w:r w:rsidR="002876BF"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2876BF" w:rsidRPr="00AA6AAC" w:rsidRDefault="004F049C" w:rsidP="006360EA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4. </w:t>
      </w:r>
      <w:r w:rsidR="006976E1"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Ролевые игры. </w:t>
      </w:r>
      <w:r w:rsidR="0051335A"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При изучении темы «Основания и их свойства» (химия) использую моделирование ситуации. В</w:t>
      </w:r>
      <w:r w:rsidR="0051335A" w:rsidRPr="00AA6A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лабораторию поступили образцы веществ </w:t>
      </w:r>
      <w:r w:rsidR="0051335A" w:rsidRPr="00AA6AAC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(предположительно щелочи и основания). Необходимо с помощью химических реакций и манипуляций с ними выяснить их химические свойства, возможности взаимодействия с заявленными веществами, зафиксировать наблюдаемые признаки реакций и оформить заключение об образцах.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Создаем </w:t>
      </w:r>
      <w:r w:rsidR="0051335A" w:rsidRPr="00AA6A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 группы – две лаборатории с параллельными заданиями.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В каждой есть заведующий</w:t>
      </w:r>
      <w:r w:rsidR="0051335A" w:rsidRPr="00AA6A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лабораторией, научный сотрудник, лаборант и несколько практикантов. У каждого своя определенная функция. </w:t>
      </w:r>
      <w:r w:rsidR="0051335A" w:rsidRPr="00AA6AAC">
        <w:rPr>
          <w:rFonts w:ascii="Times New Roman" w:hAnsi="Times New Roman" w:cs="Times New Roman"/>
          <w:color w:val="000000" w:themeColor="text1"/>
          <w:sz w:val="20"/>
          <w:szCs w:val="20"/>
        </w:rPr>
        <w:t>«Совет директоров» (преподаватель) стави</w:t>
      </w:r>
      <w:r w:rsidR="0051335A" w:rsidRPr="00AA6AAC">
        <w:rPr>
          <w:rFonts w:ascii="Times New Roman" w:hAnsi="Times New Roman" w:cs="Times New Roman"/>
          <w:color w:val="000000" w:themeColor="text1"/>
          <w:sz w:val="20"/>
          <w:szCs w:val="20"/>
        </w:rPr>
        <w:t>т отметку о качестве проведенного исследования</w:t>
      </w:r>
      <w:r w:rsidR="0051335A" w:rsidRPr="00AA6A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лабораторный журнал (тетрадь)</w:t>
      </w:r>
      <w:r w:rsidR="0051335A" w:rsidRPr="00AA6AAC">
        <w:rPr>
          <w:rFonts w:ascii="Times New Roman" w:hAnsi="Times New Roman" w:cs="Times New Roman"/>
          <w:color w:val="000000" w:themeColor="text1"/>
          <w:sz w:val="20"/>
          <w:szCs w:val="20"/>
        </w:rPr>
        <w:t>. Зав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едующий</w:t>
      </w:r>
      <w:r w:rsidR="0051335A" w:rsidRPr="00AA6A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лабораторией вносит предложения о премировании сотрудников (предлагает оценки за работу на уроке).</w:t>
      </w:r>
    </w:p>
    <w:p w:rsidR="00596A32" w:rsidRPr="00AA6AAC" w:rsidRDefault="004F049C" w:rsidP="006360EA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5. </w:t>
      </w:r>
      <w:r w:rsidR="00651D7A"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Броуновское движение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 М</w:t>
      </w:r>
      <w:r w:rsidR="00651D7A"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етод применим при проведении лабораторных работ с большим количеством опытов. Каждая пара выполняет один определенный эксперимент и наблюдения докладывает преподавателю. После одобрения результатов студенты уходят из лаборатории в кабинет и делятся своими результатами с остальными студентами. </w:t>
      </w:r>
      <w:r w:rsidR="007B7B3D"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Таким образом, учащиеся свободно передвигаются по кабинету в поисках необходимой информации. </w:t>
      </w:r>
      <w:r w:rsidR="00651D7A"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В конце занятия у каждого должен быть оформлен отчет о лабораторной работе со всеми опытами и их результатами.</w:t>
      </w:r>
    </w:p>
    <w:p w:rsidR="003F4F3E" w:rsidRPr="00AA6AAC" w:rsidRDefault="004F049C" w:rsidP="006360EA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6. </w:t>
      </w:r>
      <w:r w:rsidR="00CB679E"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«Микрофон»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 М</w:t>
      </w:r>
      <w:r w:rsidR="00CB679E"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етод нашел применение для проверки выполнения внеаудиторных самостоятельных работ в части подготовки сообщений или докладов. Каждому учащемуся позволяется высказаться с подготовленной информацией по своей теме.</w:t>
      </w:r>
    </w:p>
    <w:p w:rsidR="00E23EDA" w:rsidRPr="00AA6AAC" w:rsidRDefault="004F049C" w:rsidP="006360EA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7. </w:t>
      </w:r>
      <w:r w:rsidR="00E23EDA"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Тренинг. Данный метод применим для тех занятий, где требуется освоение некоторых монотонных умений и навыков. Например, при изучении темы «Генетический код и биосинтез белка» </w:t>
      </w:r>
      <w:r w:rsidR="0021699E"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(естествознание) </w:t>
      </w:r>
      <w:r w:rsidR="00E23EDA"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элементы тренинга </w:t>
      </w:r>
      <w:r w:rsidR="00D05246"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используются для развития формирования навыков составления второй цепочки ДНК, РНК и последовательности аминокислот. Создается </w:t>
      </w:r>
      <w:proofErr w:type="spellStart"/>
      <w:r w:rsidR="00D05246"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тренинговое</w:t>
      </w:r>
      <w:proofErr w:type="spellEnd"/>
      <w:r w:rsidR="00D05246"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соглашение и рассматриваются основные понятия.</w:t>
      </w:r>
    </w:p>
    <w:p w:rsidR="00D05246" w:rsidRPr="00AA6AAC" w:rsidRDefault="00D05246" w:rsidP="006360EA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A6AAC">
        <w:rPr>
          <w:rFonts w:ascii="Times New Roman" w:hAnsi="Times New Roman" w:cs="Times New Roman"/>
          <w:color w:val="000000" w:themeColor="text1"/>
          <w:sz w:val="20"/>
          <w:szCs w:val="20"/>
        </w:rPr>
        <w:t>Таблица</w:t>
      </w:r>
      <w:r w:rsidRPr="00AA6AAC">
        <w:rPr>
          <w:rFonts w:ascii="Times New Roman" w:hAnsi="Times New Roman" w:cs="Times New Roman"/>
          <w:color w:val="000000" w:themeColor="text1"/>
          <w:sz w:val="20"/>
          <w:szCs w:val="20"/>
        </w:rPr>
        <w:t>. Фрагмент задания</w:t>
      </w:r>
    </w:p>
    <w:tbl>
      <w:tblPr>
        <w:tblStyle w:val="a6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26"/>
        <w:gridCol w:w="427"/>
        <w:gridCol w:w="427"/>
        <w:gridCol w:w="426"/>
        <w:gridCol w:w="427"/>
        <w:gridCol w:w="427"/>
        <w:gridCol w:w="427"/>
        <w:gridCol w:w="426"/>
        <w:gridCol w:w="427"/>
        <w:gridCol w:w="427"/>
        <w:gridCol w:w="427"/>
        <w:gridCol w:w="426"/>
        <w:gridCol w:w="427"/>
        <w:gridCol w:w="427"/>
        <w:gridCol w:w="427"/>
      </w:tblGrid>
      <w:tr w:rsidR="00466F29" w:rsidRPr="00AA6AAC" w:rsidTr="00466F29">
        <w:tc>
          <w:tcPr>
            <w:tcW w:w="851" w:type="dxa"/>
            <w:vMerge w:val="restart"/>
            <w:vAlign w:val="center"/>
          </w:tcPr>
          <w:p w:rsidR="004F049C" w:rsidRPr="00AA6AAC" w:rsidRDefault="00466F29" w:rsidP="00466F2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ДНК</w:t>
            </w:r>
          </w:p>
        </w:tc>
        <w:tc>
          <w:tcPr>
            <w:tcW w:w="426" w:type="dxa"/>
            <w:vAlign w:val="center"/>
          </w:tcPr>
          <w:p w:rsidR="004F049C" w:rsidRPr="00AA6AAC" w:rsidRDefault="00466F29" w:rsidP="00466F2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427" w:type="dxa"/>
            <w:vAlign w:val="center"/>
          </w:tcPr>
          <w:p w:rsidR="004F049C" w:rsidRPr="00AA6AAC" w:rsidRDefault="00466F29" w:rsidP="00466F2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427" w:type="dxa"/>
            <w:vAlign w:val="center"/>
          </w:tcPr>
          <w:p w:rsidR="004F049C" w:rsidRPr="00AA6AAC" w:rsidRDefault="00466F29" w:rsidP="00466F2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</w:p>
        </w:tc>
        <w:tc>
          <w:tcPr>
            <w:tcW w:w="426" w:type="dxa"/>
            <w:vAlign w:val="center"/>
          </w:tcPr>
          <w:p w:rsidR="004F049C" w:rsidRPr="00AA6AAC" w:rsidRDefault="00466F29" w:rsidP="00466F2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</w:t>
            </w:r>
          </w:p>
        </w:tc>
        <w:tc>
          <w:tcPr>
            <w:tcW w:w="427" w:type="dxa"/>
            <w:vAlign w:val="center"/>
          </w:tcPr>
          <w:p w:rsidR="004F049C" w:rsidRPr="00AA6AAC" w:rsidRDefault="00466F29" w:rsidP="00466F2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</w:t>
            </w:r>
          </w:p>
        </w:tc>
        <w:tc>
          <w:tcPr>
            <w:tcW w:w="427" w:type="dxa"/>
            <w:vAlign w:val="center"/>
          </w:tcPr>
          <w:p w:rsidR="004F049C" w:rsidRPr="00AA6AAC" w:rsidRDefault="00466F29" w:rsidP="00466F2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</w:p>
        </w:tc>
        <w:tc>
          <w:tcPr>
            <w:tcW w:w="427" w:type="dxa"/>
            <w:vAlign w:val="center"/>
          </w:tcPr>
          <w:p w:rsidR="004F049C" w:rsidRPr="00AA6AAC" w:rsidRDefault="00466F29" w:rsidP="00466F2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426" w:type="dxa"/>
            <w:vAlign w:val="center"/>
          </w:tcPr>
          <w:p w:rsidR="004F049C" w:rsidRPr="00AA6AAC" w:rsidRDefault="00466F29" w:rsidP="00466F2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427" w:type="dxa"/>
            <w:vAlign w:val="center"/>
          </w:tcPr>
          <w:p w:rsidR="004F049C" w:rsidRPr="00AA6AAC" w:rsidRDefault="00466F29" w:rsidP="00466F2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427" w:type="dxa"/>
            <w:vAlign w:val="center"/>
          </w:tcPr>
          <w:p w:rsidR="004F049C" w:rsidRPr="00AA6AAC" w:rsidRDefault="00466F29" w:rsidP="00466F2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</w:t>
            </w:r>
          </w:p>
        </w:tc>
        <w:tc>
          <w:tcPr>
            <w:tcW w:w="427" w:type="dxa"/>
            <w:vAlign w:val="center"/>
          </w:tcPr>
          <w:p w:rsidR="004F049C" w:rsidRPr="00AA6AAC" w:rsidRDefault="00466F29" w:rsidP="00466F2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</w:p>
        </w:tc>
        <w:tc>
          <w:tcPr>
            <w:tcW w:w="426" w:type="dxa"/>
            <w:vAlign w:val="center"/>
          </w:tcPr>
          <w:p w:rsidR="004F049C" w:rsidRPr="00AA6AAC" w:rsidRDefault="00466F29" w:rsidP="00466F2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</w:p>
        </w:tc>
        <w:tc>
          <w:tcPr>
            <w:tcW w:w="427" w:type="dxa"/>
            <w:vAlign w:val="center"/>
          </w:tcPr>
          <w:p w:rsidR="004F049C" w:rsidRPr="00AA6AAC" w:rsidRDefault="00466F29" w:rsidP="00466F2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427" w:type="dxa"/>
            <w:vAlign w:val="center"/>
          </w:tcPr>
          <w:p w:rsidR="004F049C" w:rsidRPr="00AA6AAC" w:rsidRDefault="00466F29" w:rsidP="00466F2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427" w:type="dxa"/>
            <w:vAlign w:val="center"/>
          </w:tcPr>
          <w:p w:rsidR="004F049C" w:rsidRPr="00AA6AAC" w:rsidRDefault="00466F29" w:rsidP="00466F29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</w:p>
        </w:tc>
      </w:tr>
      <w:tr w:rsidR="00466F29" w:rsidRPr="00AA6AAC" w:rsidTr="00466F29">
        <w:tc>
          <w:tcPr>
            <w:tcW w:w="851" w:type="dxa"/>
            <w:vMerge/>
            <w:vAlign w:val="center"/>
          </w:tcPr>
          <w:p w:rsidR="004F049C" w:rsidRPr="00AA6AAC" w:rsidRDefault="004F049C" w:rsidP="006360E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4F049C" w:rsidRPr="00AA6AAC" w:rsidRDefault="004F049C" w:rsidP="006360E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7" w:type="dxa"/>
          </w:tcPr>
          <w:p w:rsidR="004F049C" w:rsidRPr="00AA6AAC" w:rsidRDefault="004F049C" w:rsidP="006360E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7" w:type="dxa"/>
          </w:tcPr>
          <w:p w:rsidR="004F049C" w:rsidRPr="00AA6AAC" w:rsidRDefault="004F049C" w:rsidP="006360E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4F049C" w:rsidRPr="00AA6AAC" w:rsidRDefault="004F049C" w:rsidP="006360E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7" w:type="dxa"/>
          </w:tcPr>
          <w:p w:rsidR="004F049C" w:rsidRPr="00AA6AAC" w:rsidRDefault="004F049C" w:rsidP="006360E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7" w:type="dxa"/>
          </w:tcPr>
          <w:p w:rsidR="004F049C" w:rsidRPr="00AA6AAC" w:rsidRDefault="004F049C" w:rsidP="006360E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7" w:type="dxa"/>
          </w:tcPr>
          <w:p w:rsidR="004F049C" w:rsidRPr="00AA6AAC" w:rsidRDefault="004F049C" w:rsidP="006360E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4F049C" w:rsidRPr="00AA6AAC" w:rsidRDefault="004F049C" w:rsidP="006360E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7" w:type="dxa"/>
          </w:tcPr>
          <w:p w:rsidR="004F049C" w:rsidRPr="00AA6AAC" w:rsidRDefault="004F049C" w:rsidP="006360E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7" w:type="dxa"/>
          </w:tcPr>
          <w:p w:rsidR="004F049C" w:rsidRPr="00AA6AAC" w:rsidRDefault="004F049C" w:rsidP="006360E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7" w:type="dxa"/>
          </w:tcPr>
          <w:p w:rsidR="004F049C" w:rsidRPr="00AA6AAC" w:rsidRDefault="004F049C" w:rsidP="006360E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4F049C" w:rsidRPr="00AA6AAC" w:rsidRDefault="004F049C" w:rsidP="006360E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7" w:type="dxa"/>
          </w:tcPr>
          <w:p w:rsidR="004F049C" w:rsidRPr="00AA6AAC" w:rsidRDefault="004F049C" w:rsidP="006360E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7" w:type="dxa"/>
          </w:tcPr>
          <w:p w:rsidR="004F049C" w:rsidRPr="00AA6AAC" w:rsidRDefault="004F049C" w:rsidP="006360E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7" w:type="dxa"/>
          </w:tcPr>
          <w:p w:rsidR="004F049C" w:rsidRPr="00AA6AAC" w:rsidRDefault="004F049C" w:rsidP="006360E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F29" w:rsidRPr="00AA6AAC" w:rsidTr="00466F29">
        <w:tc>
          <w:tcPr>
            <w:tcW w:w="851" w:type="dxa"/>
            <w:vAlign w:val="center"/>
          </w:tcPr>
          <w:p w:rsidR="004F049C" w:rsidRPr="00AA6AAC" w:rsidRDefault="00466F29" w:rsidP="00466F2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РНК</w:t>
            </w:r>
          </w:p>
        </w:tc>
        <w:tc>
          <w:tcPr>
            <w:tcW w:w="426" w:type="dxa"/>
          </w:tcPr>
          <w:p w:rsidR="004F049C" w:rsidRPr="00AA6AAC" w:rsidRDefault="004F049C" w:rsidP="006360E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7" w:type="dxa"/>
          </w:tcPr>
          <w:p w:rsidR="004F049C" w:rsidRPr="00AA6AAC" w:rsidRDefault="004F049C" w:rsidP="006360E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7" w:type="dxa"/>
          </w:tcPr>
          <w:p w:rsidR="004F049C" w:rsidRPr="00AA6AAC" w:rsidRDefault="004F049C" w:rsidP="006360E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4F049C" w:rsidRPr="00AA6AAC" w:rsidRDefault="004F049C" w:rsidP="006360E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7" w:type="dxa"/>
          </w:tcPr>
          <w:p w:rsidR="004F049C" w:rsidRPr="00AA6AAC" w:rsidRDefault="004F049C" w:rsidP="006360E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7" w:type="dxa"/>
          </w:tcPr>
          <w:p w:rsidR="004F049C" w:rsidRPr="00AA6AAC" w:rsidRDefault="004F049C" w:rsidP="006360E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7" w:type="dxa"/>
          </w:tcPr>
          <w:p w:rsidR="004F049C" w:rsidRPr="00AA6AAC" w:rsidRDefault="004F049C" w:rsidP="006360E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4F049C" w:rsidRPr="00AA6AAC" w:rsidRDefault="004F049C" w:rsidP="006360E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7" w:type="dxa"/>
          </w:tcPr>
          <w:p w:rsidR="004F049C" w:rsidRPr="00AA6AAC" w:rsidRDefault="004F049C" w:rsidP="006360E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7" w:type="dxa"/>
          </w:tcPr>
          <w:p w:rsidR="004F049C" w:rsidRPr="00AA6AAC" w:rsidRDefault="004F049C" w:rsidP="006360E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7" w:type="dxa"/>
          </w:tcPr>
          <w:p w:rsidR="004F049C" w:rsidRPr="00AA6AAC" w:rsidRDefault="004F049C" w:rsidP="006360E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4F049C" w:rsidRPr="00AA6AAC" w:rsidRDefault="004F049C" w:rsidP="006360E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7" w:type="dxa"/>
          </w:tcPr>
          <w:p w:rsidR="004F049C" w:rsidRPr="00AA6AAC" w:rsidRDefault="004F049C" w:rsidP="006360E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7" w:type="dxa"/>
          </w:tcPr>
          <w:p w:rsidR="004F049C" w:rsidRPr="00AA6AAC" w:rsidRDefault="004F049C" w:rsidP="006360E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7" w:type="dxa"/>
          </w:tcPr>
          <w:p w:rsidR="004F049C" w:rsidRPr="00AA6AAC" w:rsidRDefault="004F049C" w:rsidP="006360E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66F29" w:rsidRPr="00AA6AAC" w:rsidTr="00466F29">
        <w:tc>
          <w:tcPr>
            <w:tcW w:w="851" w:type="dxa"/>
            <w:vAlign w:val="center"/>
          </w:tcPr>
          <w:p w:rsidR="004F049C" w:rsidRPr="00AA6AAC" w:rsidRDefault="00466F29" w:rsidP="00466F29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Белок</w:t>
            </w:r>
          </w:p>
        </w:tc>
        <w:tc>
          <w:tcPr>
            <w:tcW w:w="1280" w:type="dxa"/>
            <w:gridSpan w:val="3"/>
          </w:tcPr>
          <w:p w:rsidR="004F049C" w:rsidRPr="00AA6AAC" w:rsidRDefault="004F049C" w:rsidP="006360E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0" w:type="dxa"/>
            <w:gridSpan w:val="3"/>
          </w:tcPr>
          <w:p w:rsidR="004F049C" w:rsidRPr="00AA6AAC" w:rsidRDefault="004F049C" w:rsidP="006360E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0" w:type="dxa"/>
            <w:gridSpan w:val="3"/>
          </w:tcPr>
          <w:p w:rsidR="004F049C" w:rsidRPr="00AA6AAC" w:rsidRDefault="004F049C" w:rsidP="006360E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0" w:type="dxa"/>
            <w:gridSpan w:val="3"/>
          </w:tcPr>
          <w:p w:rsidR="004F049C" w:rsidRPr="00AA6AAC" w:rsidRDefault="004F049C" w:rsidP="006360E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4F049C" w:rsidRPr="00AA6AAC" w:rsidRDefault="004F049C" w:rsidP="006360EA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05246" w:rsidRDefault="00D05246" w:rsidP="006360EA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A6A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Учащиеся по очереди называют и вписывают один элемент решения (триплет с комплементарными парами оснований), лист с заданием передается из рук в руки до тех пор, пока не будет завершена транскрипция всего указанного набора нуклеотидов. После завершения транскрипции наступает трансляция – используя таблицу генетического кода </w:t>
      </w:r>
      <w:proofErr w:type="spellStart"/>
      <w:r w:rsidRPr="00AA6AAC">
        <w:rPr>
          <w:rFonts w:ascii="Times New Roman" w:hAnsi="Times New Roman" w:cs="Times New Roman"/>
          <w:color w:val="000000" w:themeColor="text1"/>
          <w:sz w:val="20"/>
          <w:szCs w:val="20"/>
        </w:rPr>
        <w:t>иРНК</w:t>
      </w:r>
      <w:proofErr w:type="spellEnd"/>
      <w:r w:rsidRPr="00AA6AA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учащиеся так же по очереди заполняют лист задания сокращенными названиями аминокислот, которые соответствуют определенному триплету. </w:t>
      </w:r>
    </w:p>
    <w:p w:rsidR="004F049C" w:rsidRPr="00AA6AAC" w:rsidRDefault="004F049C" w:rsidP="006360EA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Или урок по теме «</w:t>
      </w:r>
      <w:proofErr w:type="spellStart"/>
      <w:r>
        <w:rPr>
          <w:rFonts w:ascii="Times New Roman" w:hAnsi="Times New Roman" w:cs="Times New Roman"/>
          <w:color w:val="000000" w:themeColor="text1"/>
          <w:sz w:val="20"/>
          <w:szCs w:val="20"/>
        </w:rPr>
        <w:t>Окислительно</w:t>
      </w:r>
      <w:proofErr w:type="spellEnd"/>
      <w:r>
        <w:rPr>
          <w:rFonts w:ascii="Times New Roman" w:hAnsi="Times New Roman" w:cs="Times New Roman"/>
          <w:color w:val="000000" w:themeColor="text1"/>
          <w:sz w:val="20"/>
          <w:szCs w:val="20"/>
        </w:rPr>
        <w:t>-восстановительные реакции» (химия).</w:t>
      </w:r>
      <w:r w:rsidR="000C5C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Учащимся предлагается так же по цепочке называть степени окисления атомов</w:t>
      </w:r>
      <w:r w:rsidR="00E81EF9">
        <w:rPr>
          <w:rFonts w:ascii="Times New Roman" w:hAnsi="Times New Roman" w:cs="Times New Roman"/>
          <w:color w:val="000000" w:themeColor="text1"/>
          <w:sz w:val="20"/>
          <w:szCs w:val="20"/>
        </w:rPr>
        <w:t>, входящих в реакцию, определять количество принятых и отданных электронов, окислитель-восстановитель, стехиометрические коэффициенты. Необходимо только подобрать достаточное количество не сложных ОВР.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E23EDA" w:rsidRPr="00AA6AAC" w:rsidRDefault="00E81EF9" w:rsidP="006360EA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lastRenderedPageBreak/>
        <w:t xml:space="preserve">8. </w:t>
      </w:r>
      <w:r w:rsidR="0021699E"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Проекты или исследование. Чаще всего возможность применения данного метода возникает при проведении практических занятий. Например, </w:t>
      </w:r>
      <w:r w:rsidR="000A0F6B"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практическое занятие по теме «Изготовление моделей молекул органических веществ» (химия) предполагает изготовление </w:t>
      </w:r>
      <w:proofErr w:type="spellStart"/>
      <w:r w:rsidR="000A0F6B"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шаростержневых</w:t>
      </w:r>
      <w:proofErr w:type="spellEnd"/>
      <w:r w:rsidR="000A0F6B"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моделей из пластилина с предварительным изучением строения и моделированием объекта в тетради. Практическое занятие по теме «Изучение </w:t>
      </w:r>
      <w:proofErr w:type="spellStart"/>
      <w:r w:rsidR="000A0F6B"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модификационной</w:t>
      </w:r>
      <w:proofErr w:type="spellEnd"/>
      <w:r w:rsidR="000A0F6B"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изменчивости»</w:t>
      </w:r>
      <w:r w:rsidR="008B45BD"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(естествознание)</w:t>
      </w:r>
      <w:r w:rsidR="000A0F6B"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8B45BD"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может включать в себя определение цели, задач, объекта, предмета, теоретической и практической значимости, гипотезы исследования, проведение подсчетов, составление таблиц и графиков, формулирование выводов и заключения.</w:t>
      </w:r>
    </w:p>
    <w:p w:rsidR="00F73B52" w:rsidRPr="00AA6AAC" w:rsidRDefault="00F73B52" w:rsidP="006360EA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Таким образом, </w:t>
      </w:r>
      <w:r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я считаю, что </w:t>
      </w:r>
      <w:r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интерактивные технологии в образовательном процессе направлены на решение одновременно нескольких педагогических задач</w:t>
      </w:r>
      <w:r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:</w:t>
      </w:r>
    </w:p>
    <w:p w:rsidR="00F73B52" w:rsidRPr="00AA6AAC" w:rsidRDefault="00F73B52" w:rsidP="00791045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совершенствование своего профессионального опыта</w:t>
      </w:r>
      <w:r w:rsidR="00E81E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;</w:t>
      </w:r>
    </w:p>
    <w:p w:rsidR="00F73B52" w:rsidRPr="00AA6AAC" w:rsidRDefault="00F73B52" w:rsidP="00791045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реализация учебно-исследовательского процесса</w:t>
      </w:r>
      <w:r w:rsidR="00E81EF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;</w:t>
      </w:r>
    </w:p>
    <w:p w:rsidR="00F73B52" w:rsidRPr="00AA6AAC" w:rsidRDefault="00F73B52" w:rsidP="00791045">
      <w:pPr>
        <w:pStyle w:val="a4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развитие ко</w:t>
      </w:r>
      <w:r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ммуникативных умений и навыков, </w:t>
      </w:r>
      <w:r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установление устойчивой диалоговой связи между участниками обучения</w:t>
      </w:r>
      <w:r w:rsidRPr="00AA6AAC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.</w:t>
      </w:r>
    </w:p>
    <w:p w:rsidR="00F73B52" w:rsidRDefault="00E81EF9" w:rsidP="00E81EF9">
      <w:pPr>
        <w:pStyle w:val="a4"/>
        <w:ind w:firstLine="567"/>
        <w:jc w:val="center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Библиографический список</w:t>
      </w:r>
    </w:p>
    <w:p w:rsidR="006360EA" w:rsidRPr="00E81EF9" w:rsidRDefault="00E81EF9" w:rsidP="00E81EF9">
      <w:pPr>
        <w:pStyle w:val="a4"/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rPr>
          <w:rFonts w:ascii="Times New Roman" w:hAnsi="Times New Roman" w:cs="Times New Roman"/>
          <w:sz w:val="20"/>
          <w:szCs w:val="20"/>
        </w:rPr>
      </w:pPr>
      <w:r w:rsidRPr="00E81EF9">
        <w:rPr>
          <w:rFonts w:ascii="Times New Roman" w:hAnsi="Times New Roman" w:cs="Times New Roman"/>
          <w:sz w:val="20"/>
          <w:szCs w:val="20"/>
        </w:rPr>
        <w:t xml:space="preserve">Интерактивные технологии в образовательном процессе. – URL: </w:t>
      </w:r>
      <w:r w:rsidR="006360EA" w:rsidRPr="00E81EF9">
        <w:rPr>
          <w:rFonts w:ascii="Times New Roman" w:hAnsi="Times New Roman" w:cs="Times New Roman"/>
          <w:sz w:val="20"/>
          <w:szCs w:val="20"/>
        </w:rPr>
        <w:t>https://spravochnick.ru/pedagogika/interaktivnye_tehnologii_v_obrazovatelnom_processe/</w:t>
      </w:r>
    </w:p>
    <w:p w:rsidR="00F73B52" w:rsidRDefault="00F73B52" w:rsidP="00F73B52">
      <w:pPr>
        <w:rPr>
          <w:rFonts w:ascii="Circe-Light" w:hAnsi="Circe-Light"/>
          <w:color w:val="0D1D4A"/>
          <w:shd w:val="clear" w:color="auto" w:fill="FFFFFF"/>
        </w:rPr>
      </w:pPr>
    </w:p>
    <w:p w:rsidR="00F73B52" w:rsidRPr="00F73B52" w:rsidRDefault="00F73B52" w:rsidP="00F73B52">
      <w:pPr>
        <w:rPr>
          <w:rFonts w:ascii="Circe-Light" w:hAnsi="Circe-Light"/>
          <w:color w:val="0D1D4A"/>
          <w:shd w:val="clear" w:color="auto" w:fill="FFFFFF"/>
        </w:rPr>
      </w:pPr>
    </w:p>
    <w:sectPr w:rsidR="00F73B52" w:rsidRPr="00F73B52" w:rsidSect="00EA06CF">
      <w:pgSz w:w="8391" w:h="11906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irce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3D5A"/>
    <w:multiLevelType w:val="hybridMultilevel"/>
    <w:tmpl w:val="EEA60A6C"/>
    <w:lvl w:ilvl="0" w:tplc="638413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A0F62E1"/>
    <w:multiLevelType w:val="hybridMultilevel"/>
    <w:tmpl w:val="61B82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B6E98"/>
    <w:multiLevelType w:val="hybridMultilevel"/>
    <w:tmpl w:val="D43A3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40D06"/>
    <w:multiLevelType w:val="hybridMultilevel"/>
    <w:tmpl w:val="938AC3EA"/>
    <w:lvl w:ilvl="0" w:tplc="29EE0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511F78"/>
    <w:multiLevelType w:val="hybridMultilevel"/>
    <w:tmpl w:val="E638A3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CAA63C2"/>
    <w:multiLevelType w:val="hybridMultilevel"/>
    <w:tmpl w:val="4B6E1DBE"/>
    <w:lvl w:ilvl="0" w:tplc="9AB6A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3D770F"/>
    <w:multiLevelType w:val="hybridMultilevel"/>
    <w:tmpl w:val="297CE51E"/>
    <w:lvl w:ilvl="0" w:tplc="98FC63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05B60FF"/>
    <w:multiLevelType w:val="hybridMultilevel"/>
    <w:tmpl w:val="CDDAD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83"/>
    <w:rsid w:val="000A0F6B"/>
    <w:rsid w:val="000C5CB3"/>
    <w:rsid w:val="000D7D8B"/>
    <w:rsid w:val="0015214B"/>
    <w:rsid w:val="0021699E"/>
    <w:rsid w:val="002876BF"/>
    <w:rsid w:val="003F4F3E"/>
    <w:rsid w:val="00466F29"/>
    <w:rsid w:val="004C2D6E"/>
    <w:rsid w:val="004F049C"/>
    <w:rsid w:val="0051335A"/>
    <w:rsid w:val="00582812"/>
    <w:rsid w:val="00596A32"/>
    <w:rsid w:val="006360EA"/>
    <w:rsid w:val="00651D7A"/>
    <w:rsid w:val="0067260C"/>
    <w:rsid w:val="006976E1"/>
    <w:rsid w:val="006A243F"/>
    <w:rsid w:val="0079079E"/>
    <w:rsid w:val="00791045"/>
    <w:rsid w:val="007B7B3D"/>
    <w:rsid w:val="008B45BD"/>
    <w:rsid w:val="00933186"/>
    <w:rsid w:val="00A114BE"/>
    <w:rsid w:val="00AA6AAC"/>
    <w:rsid w:val="00B20E81"/>
    <w:rsid w:val="00B85E83"/>
    <w:rsid w:val="00BC12D4"/>
    <w:rsid w:val="00C06AA9"/>
    <w:rsid w:val="00CB679E"/>
    <w:rsid w:val="00CE0A10"/>
    <w:rsid w:val="00D05246"/>
    <w:rsid w:val="00D137BC"/>
    <w:rsid w:val="00E23EDA"/>
    <w:rsid w:val="00E40CD2"/>
    <w:rsid w:val="00E52101"/>
    <w:rsid w:val="00E81EF9"/>
    <w:rsid w:val="00EA06CF"/>
    <w:rsid w:val="00F03642"/>
    <w:rsid w:val="00F73B52"/>
    <w:rsid w:val="00F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C55F"/>
  <w15:chartTrackingRefBased/>
  <w15:docId w15:val="{239DBDFB-74CB-4C3C-9F5F-C8140620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9079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06AA9"/>
    <w:pPr>
      <w:ind w:left="720"/>
      <w:contextualSpacing/>
    </w:pPr>
  </w:style>
  <w:style w:type="table" w:styleId="a6">
    <w:name w:val="Table Grid"/>
    <w:basedOn w:val="a1"/>
    <w:uiPriority w:val="59"/>
    <w:rsid w:val="00D0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40</cp:revision>
  <dcterms:created xsi:type="dcterms:W3CDTF">2021-03-22T17:38:00Z</dcterms:created>
  <dcterms:modified xsi:type="dcterms:W3CDTF">2021-03-22T19:40:00Z</dcterms:modified>
</cp:coreProperties>
</file>