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Метапредметная направленность в реализации основных и дополнительных образовательных программ и их роль в реализации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Разговоров о важном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»</w:t>
      </w:r>
      <w:bookmarkStart w:id="0" w:name="_GoBack"/>
      <w:bookmarkEnd w:id="0"/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ordWrap w:val="0"/>
        <w:spacing w:after="0" w:line="360" w:lineRule="auto"/>
        <w:ind w:firstLine="709"/>
        <w:jc w:val="right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Табацкая И.Г.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, к.ф.н., преподаватель УД </w:t>
      </w:r>
    </w:p>
    <w:p>
      <w:pPr>
        <w:wordWrap w:val="0"/>
        <w:spacing w:after="0" w:line="360" w:lineRule="auto"/>
        <w:ind w:firstLine="709"/>
        <w:jc w:val="right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«Иностранный язык» ГБПОУ ВО «ВЮТ»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носит метапредметный характер.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Метапредметы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соединяют в себе идею предметности и надпредметности.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иностранного языка – это неисчерпаемый источник формирования и использования метапредметных связей, например, навыков функциональной грамотности. При работе с текстами различной направленности и тематики обучаемые получают навык чтения с пониманием основной идеи, поиска нужной информации, детального понимания – и эти же навыки функциональной грамотности они с успехом могут использовать при чтении любых текстов, в любой области знаний. Изучение иностранного языка предполагает аудирование, направляя речевую деятельность студентов для осуществления общеучебных целей – для полного, специального или детального понимания. Это обеспечивает успех при любом аудитивном действии. Навык, полученный во время урочной деятельности, сформированные умения, усвоенные знания помогают в самостоятельной деятельности, умении её планировать и реализовывать с получением практического результата.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 должны отражать: 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• умение определять назначение и функции различных социальных институтов; • умение самостоятельно оценивать и принимать решения, определяющие стратегию поведения, с учетом гражданских и нравственных ценностей; • владение языковыми средствами - умение ясно, логично и точно излагать свою точку зрения, использовать адекватные языковые средства; 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метапредметные компетенции реализуются как в общем курсе подготовки, так и конкретно в рамках изучения дисциплины «Иностранный язык».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общеучебных и специальных компетенций в рамках изучения данной дисциплины происходит на материале, который может варьироваться с целью выполнения задач, представленных в программах специальностей в рамках  достижения профессиональных и личностных результатов. Для дисциплины «Иностранный язык» это 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«Разговоры о важном» касаются ключевых аспектов жизни в России, естественно, значительная часть этих тем пересекается с выбранными в качестве опорных для изучения в курсе иностранного языка в цикле ОГС. </w:t>
      </w:r>
    </w:p>
    <w:tbl>
      <w:tblPr>
        <w:tblStyle w:val="3"/>
        <w:tblW w:w="10317" w:type="dxa"/>
        <w:tblInd w:w="-7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5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Тематика «Разговоры о важном»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Рабочая программа дисциплины «Иностранный язык» (английский)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 любовью в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сердце: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достойная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2"/>
                <w:sz w:val="24"/>
                <w:szCs w:val="24"/>
                <w:lang w:eastAsia="ru-RU"/>
              </w:rPr>
              <w:t>жизнь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hAnsi="Times New Roman" w:eastAsia="Times New Roman" w:cs="Times New Roman"/>
                <w:color w:val="111115"/>
                <w:spacing w:val="-61"/>
                <w:sz w:val="24"/>
                <w:szCs w:val="24"/>
                <w:lang w:eastAsia="ru-RU"/>
              </w:rPr>
              <w:t>         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старшего поколения</w:t>
            </w:r>
            <w:r>
              <w:rPr>
                <w:rFonts w:ascii="Times New Roman" w:hAnsi="Times New Roman" w:eastAsia="Times New Roman" w:cs="Times New Roman"/>
                <w:color w:val="111115"/>
                <w:spacing w:val="-1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pacing w:val="-6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наших руках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Роль отца в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формировании личности ребенка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О руки наших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матерей. Она молилась за победу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Счастлив тот,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 w:eastAsia="Times New Roman" w:cs="Times New Roman"/>
                <w:color w:val="111115"/>
                <w:spacing w:val="-1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счастлив</w:t>
            </w:r>
            <w:r>
              <w:rPr>
                <w:rFonts w:ascii="Times New Roman" w:hAnsi="Times New Roman" w:eastAsia="Times New Roman" w:cs="Times New Roman"/>
                <w:color w:val="111115"/>
                <w:spacing w:val="-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color w:val="111115"/>
                <w:spacing w:val="-6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себя</w:t>
            </w:r>
            <w:r>
              <w:rPr>
                <w:rFonts w:ascii="Times New Roman" w:hAnsi="Times New Roman" w:eastAsia="Times New Roman" w:cs="Times New Roman"/>
                <w:color w:val="111115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Семья и семейные отношения, домашние обязанности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Главный закон России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Введение в специальность. Право и  правовые институты.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Родину не выбирают…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hAnsi="Times New Roman" w:eastAsia="Times New Roman" w:cs="Times New Roman"/>
                <w:color w:val="111115"/>
                <w:spacing w:val="-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111115"/>
                <w:spacing w:val="-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мире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3"/>
                <w:sz w:val="24"/>
                <w:szCs w:val="24"/>
                <w:lang w:eastAsia="ru-RU"/>
              </w:rPr>
              <w:t>Гимн России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Герб как составная часть государственной символики Российской Федерации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Мы едины, мы</w:t>
            </w:r>
            <w:r>
              <w:rPr>
                <w:rFonts w:ascii="Times New Roman" w:hAnsi="Times New Roman" w:eastAsia="Times New Roman" w:cs="Times New Roman"/>
                <w:color w:val="111115"/>
                <w:spacing w:val="-1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hAnsi="Times New Roman" w:eastAsia="Times New Roman" w:cs="Times New Roman"/>
                <w:color w:val="111115"/>
                <w:spacing w:val="-1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одна страна!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Россия, ее национальные символы, государственное и политическое устройство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Крым на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2"/>
                <w:sz w:val="24"/>
                <w:szCs w:val="24"/>
                <w:lang w:eastAsia="ru-RU"/>
              </w:rPr>
              <w:t>карте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Мой город\село.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Искусство и</w:t>
            </w:r>
            <w:r>
              <w:rPr>
                <w:rFonts w:ascii="Times New Roman" w:hAnsi="Times New Roman" w:eastAsia="Times New Roman" w:cs="Times New Roman"/>
                <w:color w:val="111115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псевдоискусст</w:t>
            </w:r>
            <w:r>
              <w:rPr>
                <w:rFonts w:ascii="Times New Roman" w:hAnsi="Times New Roman" w:eastAsia="Times New Roman" w:cs="Times New Roman"/>
                <w:color w:val="111115"/>
                <w:spacing w:val="-6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во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hAnsi="Times New Roman" w:eastAsia="Times New Roman" w:cs="Times New Roman"/>
                <w:color w:val="111115"/>
                <w:spacing w:val="-1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писатели</w:t>
            </w:r>
            <w:r>
              <w:rPr>
                <w:rFonts w:ascii="Times New Roman" w:hAnsi="Times New Roman" w:eastAsia="Times New Roman" w:cs="Times New Roman"/>
                <w:color w:val="111115"/>
                <w:spacing w:val="-13"/>
                <w:sz w:val="24"/>
                <w:szCs w:val="24"/>
                <w:lang w:eastAsia="ru-RU"/>
              </w:rPr>
              <w:t> и поэты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 xml:space="preserve"> о войне 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К. 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Искусство и культура. Языки и литература.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«Зелёные» привычки»: сохраним планету для будущих поколений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Экология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5"/>
                <w:spacing w:val="-1"/>
                <w:sz w:val="24"/>
                <w:szCs w:val="24"/>
                <w:lang w:eastAsia="ru-RU"/>
              </w:rPr>
              <w:t>День труда (м</w:t>
            </w:r>
            <w:r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  <w:t>оя будущая профессия)</w:t>
            </w:r>
          </w:p>
        </w:tc>
        <w:tc>
          <w:tcPr>
            <w:tcW w:w="4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entury Schoolbook" w:cs="Times New Roman"/>
                <w:sz w:val="24"/>
                <w:szCs w:val="24"/>
                <w:lang w:eastAsia="ru-RU" w:bidi="ru-RU"/>
              </w:rPr>
              <w:t>Качества, необходимые специалисту.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умение, к которому стремится курс иностранного языка – коммуникация, в частности, самостоятельное высказывание по ключевой тематике, может опираться на те факты, с которыми студент ознакомился в процессе Разговоров, и на выводы, которые он сделал в ходе самостоятельного творческого осмысления предложенных тем.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Важна эмоциональная составляющая. Материалы Разговоров носят позитивный, творческий характер. Это помогает формированию коммуникативных навыков студентов и способствует снятию барьеров в процессе устного общения. Развитие эмоционального интеллекта и коммуникативных навыков в целом является одной из задач внеурочной деятельности. Например, на занятиях действующего в техникуме более 10 лет клуба «Диалог культур» часто поднимаются для обсуждения аналогичные темы, и активизируются ранее полученные знания и мнения, сформированные в том числе и в процессе Разговоров о важном. Таким образом, формируется система, способствующая формированию метакомпетенций обучающихся.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E"/>
    <w:rsid w:val="000F45EA"/>
    <w:rsid w:val="00212624"/>
    <w:rsid w:val="002522EB"/>
    <w:rsid w:val="002A00DF"/>
    <w:rsid w:val="002B0B70"/>
    <w:rsid w:val="0040722D"/>
    <w:rsid w:val="00412B96"/>
    <w:rsid w:val="004A34FC"/>
    <w:rsid w:val="006C303E"/>
    <w:rsid w:val="007B5EA9"/>
    <w:rsid w:val="007D4FC0"/>
    <w:rsid w:val="00814843"/>
    <w:rsid w:val="0082438B"/>
    <w:rsid w:val="00892E88"/>
    <w:rsid w:val="008A2671"/>
    <w:rsid w:val="008B6283"/>
    <w:rsid w:val="00932EF8"/>
    <w:rsid w:val="00936788"/>
    <w:rsid w:val="00A45E95"/>
    <w:rsid w:val="00AF259D"/>
    <w:rsid w:val="00B3115D"/>
    <w:rsid w:val="00C808D7"/>
    <w:rsid w:val="00CE241C"/>
    <w:rsid w:val="00D65F97"/>
    <w:rsid w:val="00D7775D"/>
    <w:rsid w:val="00FC2C24"/>
    <w:rsid w:val="00FE62A7"/>
    <w:rsid w:val="00FE6B24"/>
    <w:rsid w:val="1A6610DD"/>
    <w:rsid w:val="6B7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932</Words>
  <Characters>5318</Characters>
  <Lines>44</Lines>
  <Paragraphs>12</Paragraphs>
  <TotalTime>4</TotalTime>
  <ScaleCrop>false</ScaleCrop>
  <LinksUpToDate>false</LinksUpToDate>
  <CharactersWithSpaces>6238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2022-12-17T05:23:00Z</dcterms:created>
  <dc:creator>user</dc:creator>
  <cp:lastModifiedBy>User</cp:lastModifiedBy>
  <dcterms:modified xsi:type="dcterms:W3CDTF">2022-12-22T05:41:32Z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9667300F167D44E5AA05063E135672B2</vt:lpwstr>
  </property>
</Properties>
</file>